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CHECKLIST DE CAPTURA DO SNAPSHOT FINAL SOLV</w:t>
      </w:r>
    </w:p>
    <w:p>
      <w:pPr>
        <w:pStyle w:val="Muted"/>
        <w:jc w:val="center"/>
      </w:pPr>
      <w:r>
        <w:t xml:space="preserve">Usar imediatamente antes do SUBMETER. O objetivo é provar que o formulário, anexos e gates foram conferidos no Solv real.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2800"/>
        <w:gridCol w:w="6560"/>
      </w:tblGrid>
      <w:tr>
        <w:tc>
          <w:tcPr>
            <w:tcW w:w="28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Campo</w:t>
            </w:r>
          </w:p>
        </w:tc>
        <w:tc>
          <w:tcPr>
            <w:tcW w:w="65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Preenchimento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Usuário/conta Solv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[e-mail usado no login]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Data/hora do snapshot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[AAAA-MM-DDTHH:MM:SS-03:00]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Status visto no Solv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[rascunho revisado / pronto para envio / protocolo pós-envio]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 visual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docs/proposal/external-evidence/solv-final-snapshot.pdf ou .png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Arquivo auditável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docs/proposal/external-evidence/solv-final-snapshot.md</w:t>
            </w:r>
          </w:p>
        </w:tc>
      </w:tr>
      <w:tr>
        <w:tc>
          <w:tcPr>
            <w:tcW w:w="2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Protocolo/recibo</w:t>
            </w:r>
          </w:p>
        </w:tc>
        <w:tc>
          <w:tcPr>
            <w:tcW w:w="6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[preencher após envio real]</w:t>
            </w:r>
          </w:p>
        </w:tc>
      </w:tr>
    </w:tbl>
    <w:p>
      <w:pPr>
        <w:pStyle w:val="Heading1"/>
      </w:pPr>
      <w:r>
        <w:t xml:space="preserve">Sequência antes do SUBMETER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900"/>
        <w:gridCol w:w="5200"/>
        <w:gridCol w:w="3260"/>
      </w:tblGrid>
      <w:tr>
        <w:tc>
          <w:tcPr>
            <w:tcW w:w="9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Ordem</w:t>
            </w:r>
          </w:p>
        </w:tc>
        <w:tc>
          <w:tcPr>
            <w:tcW w:w="52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Ação</w:t>
            </w:r>
          </w:p>
        </w:tc>
        <w:tc>
          <w:tcPr>
            <w:tcW w:w="32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Evidência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1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Rodar /api/proposal/solv-dry-run e confirmar 0 blockers de envio.</w:t>
            </w:r>
          </w:p>
        </w:tc>
        <w:tc>
          <w:tcPr>
            <w:tcW w:w="32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print ou JSON do dry-run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2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Conferir as 9 seções do Anexo VI no formulário Solv.</w:t>
            </w:r>
          </w:p>
        </w:tc>
        <w:tc>
          <w:tcPr>
            <w:tcW w:w="32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checklist abaixo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3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Conferir lista de anexos obrigatórios e nomes finais.</w:t>
            </w:r>
          </w:p>
        </w:tc>
        <w:tc>
          <w:tcPr>
            <w:tcW w:w="32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manifesto de upload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4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Salvar PDF ou PNG completo do formulário antes do SUBMETER.</w:t>
            </w:r>
          </w:p>
        </w:tc>
        <w:tc>
          <w:tcPr>
            <w:tcW w:w="32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solv-final-snapshot.pdf/png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5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Registrar metadados no painel Snapshot final Solv e gravar MD.</w:t>
            </w:r>
          </w:p>
        </w:tc>
        <w:tc>
          <w:tcPr>
            <w:tcW w:w="32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solv-final-snapshot.md</w:t>
            </w:r>
          </w:p>
        </w:tc>
      </w:tr>
      <w:tr>
        <w:tc>
          <w:tcPr>
            <w:tcW w:w="9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rPr>
                <w:b/>
              </w:rPr>
              <w:t xml:space="preserve">6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Clicar SUBMETER somente sem gate bloqueante.</w:t>
            </w:r>
          </w:p>
        </w:tc>
        <w:tc>
          <w:tcPr>
            <w:tcW w:w="32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TableText"/>
            </w:pPr>
            <w:r>
              <w:t xml:space="preserve">protocolo/recibo</w:t>
            </w:r>
          </w:p>
        </w:tc>
      </w:tr>
    </w:tbl>
    <w:p>
      <w:pPr>
        <w:pStyle w:val="Heading1"/>
      </w:pPr>
      <w:r>
        <w:t xml:space="preserve">Checklist das 9 seções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1800"/>
        <w:gridCol w:w="7560"/>
      </w:tblGrid>
      <w:tr>
        <w:tc>
          <w:tcPr>
            <w:tcW w:w="18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Seção</w:t>
            </w:r>
          </w:p>
        </w:tc>
        <w:tc>
          <w:tcPr>
            <w:tcW w:w="756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Conferência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1.A-1.E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identificação, entidade PF/PJ, contato e declarações coerentes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2.A-2.B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aderência ao desafio e integração institucional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3.A-3.C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solução, TRL declarado e justificativa da arquitetura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4.A-4.B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modelo econômico, remuneração e custo completo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5.A-5.E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plano de teste, metas, indicadores, custo completo e escalabilidade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6.A-6.D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evidências, casos, custo-benefício e validação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7.A-7.B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inovação, impacto e diferenciação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8.A-8.C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experiência, operação e datas reais</w:t>
            </w:r>
          </w:p>
        </w:tc>
      </w:tr>
      <w:tr>
        <w:tc>
          <w:tcPr>
            <w:tcW w:w="18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9.A-9.B</w:t>
            </w:r>
          </w:p>
        </w:tc>
        <w:tc>
          <w:tcPr>
            <w:tcW w:w="756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equipe, transferência e declarações finais</w:t>
            </w:r>
          </w:p>
        </w:tc>
      </w:tr>
    </w:tbl>
    <w:p>
      <w:pPr>
        <w:pStyle w:val="Heading1"/>
      </w:pPr>
      <w:r>
        <w:t xml:space="preserve">Anexos obrigatórios vistos no Solv</w:t>
      </w:r>
    </w:p>
    <w:tbl>
      <w:tblPr>
        <w:tblW w:w="9360" w:type="dxa"/>
        <w:tblInd w:w="120" w:type="dxa"/>
        <w:tblBorders>
          <w:top w:val="single" w:sz="4" w:space="0" w:color="D9E0EA"/>
          <w:left w:val="single" w:sz="4" w:space="0" w:color="D9E0EA"/>
          <w:bottom w:val="single" w:sz="4" w:space="0" w:color="D9E0EA"/>
          <w:right w:val="single" w:sz="4" w:space="0" w:color="D9E0EA"/>
          <w:insideH w:val="single" w:sz="4" w:space="0" w:color="D9E0EA"/>
          <w:insideV w:val="single" w:sz="4" w:space="0" w:color="D9E0EA"/>
        </w:tblBorders>
        <w:tblLayout w:type="fixed"/>
        <w:tblCellMar>
          <w:top w:w="80" w:type="dxa"/>
          <w:bottom w:w="80" w:type="dxa"/>
          <w:start w:w="120" w:type="dxa"/>
          <w:end w:w="120" w:type="dxa"/>
        </w:tblCellMar>
      </w:tblPr>
      <w:tblGrid>
        <w:gridCol w:w="650"/>
        <w:gridCol w:w="5200"/>
        <w:gridCol w:w="3510"/>
      </w:tblGrid>
      <w:tr>
        <w:tc>
          <w:tcPr>
            <w:tcW w:w="65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#</w:t>
            </w:r>
          </w:p>
        </w:tc>
        <w:tc>
          <w:tcPr>
            <w:tcW w:w="520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Nome visto no Solv</w:t>
            </w:r>
          </w:p>
        </w:tc>
        <w:tc>
          <w:tcPr>
            <w:tcW w:w="3510" w:type="dxa"/>
            <w:shd w:fill="F2F4F7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Conferência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1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01-openapi-swagger-fapes.yaml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2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02-proposta-tecnica-v1.md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3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03-plano-de-teste-cpsi-v0.md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4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04-handover-operacional.md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5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05-dossie-calibracao.md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6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06-golden-set-projetos-simulados.md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7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07-relatorio-conformidade-openapi.md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8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08-roteiro-demo-ponta-a-ponta.md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9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09-dpia-lgpd-preliminar.md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10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10-video-demo-fapes.webm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11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11-decisao-submissao-pf-pj.pdf-ou-md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  <w:tr>
        <w:tc>
          <w:tcPr>
            <w:tcW w:w="65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rPr>
                <w:b/>
              </w:rPr>
              <w:t xml:space="preserve">12</w:t>
            </w:r>
          </w:p>
        </w:tc>
        <w:tc>
          <w:tcPr>
            <w:tcW w:w="520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12-cartas-capacidade-tecnica-1-a-3.pdf</w:t>
            </w:r>
          </w:p>
        </w:tc>
        <w:tc>
          <w:tcPr>
            <w:tcW w:w="3510" w:type="dxa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pStyle w:val="SmallTableText"/>
            </w:pPr>
            <w:r>
              <w:t xml:space="preserve">[ ] anexado</w:t>
            </w:r>
          </w:p>
        </w:tc>
      </w:tr>
    </w:tbl>
    <w:p>
      <w:pPr>
        <w:pStyle w:val="Heading1"/>
      </w:pPr>
      <w:r>
        <w:t xml:space="preserve">Declaração de trava</w:t>
      </w:r>
    </w:p>
    <w:p>
      <w:pPr>
        <w:pStyle w:val="BodyText"/>
      </w:pPr>
      <w:r>
        <w:t xml:space="preserve">Confirmo que o SUBMETER só deve ocorrer se o dry-run estiver sem blockers, a evidência externa obrigatória estiver anexada e o snapshot visual/metadata tiver sido salvo. </w:t>
      </w:r>
      <w:r>
        <w:rPr>
          <w:b/>
        </w:rPr>
        <w:t xml:space="preserve">Se qualquer campo do Anexo VI ou anexo obrigatório estiver pendente, a ação correta é voltar ao rascunho e não enviar.</w:t>
      </w:r>
    </w:p>
    <w:p>
      <w:pPr>
        <w:pStyle w:val="BodyText"/>
      </w:pPr>
      <w:r>
        <w:t xml:space="preserve">Assinatura de conferência: ____________________________________________</w:t>
      </w:r>
    </w:p>
    <w:p>
      <w:pPr>
        <w:pStyle w:val="BodyText"/>
      </w:pPr>
      <w:r>
        <w:t xml:space="preserve">Data/hora: ____________________</w:t>
      </w:r>
    </w:p>
    <w:sectPr>
      <w:headerReference w:type="default" r:id="rId1"/>
      <w:footerReference w:type="default" r:id="rId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oter1.xml><?xml version="1.0" encoding="utf-8"?>
<w:ftr xmlns:w="http://schemas.openxmlformats.org/wordprocessingml/2006/main">
  <w:p>
    <w:pPr>
      <w:pStyle w:val="Muted"/>
      <w:jc w:val="center"/>
    </w:pPr>
    <w:r>
      <w:rPr>
        <w:rFonts w:ascii="Calibri" w:hAnsi="Calibri"/>
        <w:sz w:val="18"/>
        <w:color w:val="555555"/>
      </w:rPr>
      <w:t>Não clicar SUBMETER enquanto houver blocker no dry-run.</w:t>
    </w:r>
  </w:p>
</w:ftr>
</file>

<file path=word/header1.xml><?xml version="1.0" encoding="utf-8"?>
<w:hdr xmlns:w="http://schemas.openxmlformats.org/wordprocessingml/2006/main">
  <w:p>
    <w:pPr>
      <w:pStyle w:val="Muted"/>
      <w:jc w:val="right"/>
    </w:pPr>
    <w:r>
      <w:rPr>
        <w:rFonts w:ascii="Calibri" w:hAnsi="Calibri"/>
        <w:sz w:val="18"/>
        <w:color w:val="555555"/>
      </w:rPr>
      <w:t>CPSI FAPES | Snapshot final Solv</w:t>
    </w:r>
  </w:p>
</w:hdr>
</file>

<file path=word/settings.xml><?xml version="1.0" encoding="utf-8"?>
<w:settings xmlns:w="http://schemas.openxmlformats.org/wordprocessingml/2006/main">
  <w:zoom w:percent="100"/>
  <w:defaultTabStop w:val="720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color w:val="000000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next w:val="Normal"/>
    <w:qFormat/>
    <w:pPr>
      <w:jc w:val="center"/>
      <w:spacing w:before="0" w:after="220"/>
    </w:pPr>
    <w:rPr>
      <w:rFonts w:ascii="Calibri" w:hAnsi="Calibri"/>
      <w:b/>
      <w:sz w:val="3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rFonts w:ascii="Calibri" w:hAnsi="Calibri"/>
      <w:b/>
      <w:sz w:val="32"/>
      <w:color w:val="2E74B5"/>
    </w:rPr>
  </w:style>
  <w:style w:type="paragraph" w:styleId="Heading2">
    <w:name w:val="heading 2"/>
    <w:basedOn w:val="Normal"/>
    <w:next w:val="Normal"/>
    <w:qFormat/>
    <w:pPr>
      <w:keepNext/>
      <w:spacing w:before="240" w:after="120"/>
    </w:pPr>
    <w:rPr>
      <w:rFonts w:ascii="Calibri" w:hAnsi="Calibri"/>
      <w:b/>
      <w:sz w:val="26"/>
      <w:color w:val="2E74B5"/>
    </w:rPr>
  </w:style>
  <w:style w:type="paragraph" w:styleId="BodyText">
    <w:name w:val="Body Text"/>
    <w:basedOn w:val="Normal"/>
    <w:pPr>
      <w:spacing w:before="0" w:after="120" w:line="264" w:lineRule="auto"/>
    </w:pPr>
    <w:rPr>
      <w:rFonts w:ascii="Calibri" w:hAnsi="Calibri"/>
      <w:sz w:val="22"/>
    </w:rPr>
  </w:style>
  <w:style w:type="paragraph" w:styleId="TableText">
    <w:name w:val="Table Text"/>
    <w:basedOn w:val="Normal"/>
    <w:pPr>
      <w:spacing w:before="0" w:after="0" w:line="264" w:lineRule="auto"/>
    </w:pPr>
    <w:rPr>
      <w:rFonts w:ascii="Calibri" w:hAnsi="Calibri"/>
      <w:sz w:val="20"/>
    </w:rPr>
  </w:style>
  <w:style w:type="paragraph" w:styleId="SmallTableText">
    <w:name w:val="Small Table Text"/>
    <w:basedOn w:val="Normal"/>
    <w:pPr>
      <w:spacing w:before="0" w:after="0" w:line="252" w:lineRule="auto"/>
    </w:pPr>
    <w:rPr>
      <w:rFonts w:ascii="Calibri" w:hAnsi="Calibri"/>
      <w:sz w:val="18"/>
    </w:rPr>
  </w:style>
  <w:style w:type="paragraph" w:styleId="Muted">
    <w:name w:val="Muted"/>
    <w:basedOn w:val="Normal"/>
    <w:pPr>
      <w:spacing w:before="0" w:after="100" w:line="264" w:lineRule="auto"/>
    </w:pPr>
    <w:rPr>
      <w:rFonts w:ascii="Calibri" w:hAnsi="Calibri"/>
      <w:sz w:val="20"/>
      <w:color w:val="555555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header" Target="header1.xml"/>
  <Relationship Id="rId2" Type="http://schemas.openxmlformats.org/officeDocument/2006/relationships/footer" Target="footer1.xml"/>
  <Relationship Id="rId3" Type="http://schemas.openxmlformats.org/officeDocument/2006/relationships/styles" Target="styles.xml"/>
  <Relationship Id="rId4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  <DocSecurity>0</DocSecurity>
  <ScaleCrop>false</ScaleCrop>
  <Company>Raphael Lages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de captura do snapshot final Solv - CPSI FAPES</dc:title>
  <dc:creator>Codex</dc:creator>
  <cp:lastModifiedBy>Codex</cp:lastModifiedBy>
  <dcterms:created xsi:type="dcterms:W3CDTF">2026-05-31T08:26:12Z</dcterms:created>
  <dcterms:modified xsi:type="dcterms:W3CDTF">2026-05-31T08:26:12Z</dcterms:modified>
</cp:coreProperties>
</file>