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Title"/>
      </w:pPr>
      <w:r>
        <w:rPr/>
        <w:t xml:space="preserve">Relatório de Esclarecimentos à CTA FAPES</w:t>
      </w:r>
    </w:p>
    <w:p>
      <w:pPr>
        <w:pStyle w:val="Subtitle"/>
      </w:pPr>
      <w:r>
        <w:rPr/>
        <w:t xml:space="preserve">Rascunho para validação interna - não enviar antes da revisão técnica final</w:t>
      </w:r>
    </w:p>
    <w:p>
      <w:pPr>
        <w:pStyle w:val="Meta"/>
      </w:pPr>
      <w:r>
        <w:rPr/>
        <w:t xml:space="preserve">Gerado em 2026-06-01. Fonte operacional: roadmap FAPES, Edital CPSI 003/2026 e Termo de Referência.</w:t>
      </w:r>
    </w:p>
    <w:p>
      <w:pPr>
        <w:pStyle w:val="Heading1"/>
        <w:keepNext/>
      </w:pPr>
      <w:r>
        <w:rPr/>
        <w:t xml:space="preserve">Resumo executivo</w:t>
      </w:r>
    </w:p>
    <w:p>
      <w:pPr>
        <w:pStyle w:val="Normal"/>
      </w:pPr>
      <w:r>
        <w:rPr/>
        <w:t xml:space="preserve">Este documento consolida o pedido de esclarecimentos que pode ser enviado à CTA. A recomendação operacional é preparar o texto agora, mas enviar somente quando a demo, o pacote técnico, a auditoria dos projetos simulados e os anexos críticos estiverem revisados, mantendo o limite de 08/06/2026 para esclarecimentos oficiais.</w:t>
      </w:r>
    </w:p>
    <w:tbl>
      <w:tblPr>
        <w:tblW w:w="9360" w:type="dxa"/>
        <w:tblInd w:w="120" w:type="dxa"/>
        <w:tblBorders>
          <w:top w:val="single" w:sz="4" w:color="D9DEE7"/>
          <w:left w:val="single" w:sz="4" w:color="D9DEE7"/>
          <w:bottom w:val="single" w:sz="4" w:color="D9DEE7"/>
          <w:right w:val="single" w:sz="4" w:color="D9DEE7"/>
          <w:insideH w:val="single" w:sz="4" w:color="D9DEE7"/>
          <w:insideV w:val="single" w:sz="4" w:color="D9DEE7"/>
        </w:tblBorders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500"/>
        <w:gridCol w:w="6860"/>
      </w:tblGrid>
      <w:tr>
        <w:trPr>
          <w:cantSplit/>
        </w:trPr>
        <w:tc>
          <w:tcPr>
            <w:tcW w:w="2500" w:type="dxa"/>
            <w:shd w:fill="F2F4F7"/>
            <w:vAlign w:val="center"/>
          </w:tcPr>
          <w:p>
            <w:pPr>
              <w:pStyle w:val="TableText"/>
            </w:pPr>
            <w:r>
              <w:rPr/>
              <w:t xml:space="preserve">Destinatário</w:t>
            </w:r>
          </w:p>
        </w:tc>
        <w:tc>
          <w:tcPr>
            <w:tcW w:w="6860" w:type="dxa"/>
            <w:vAlign w:val="center"/>
          </w:tcPr>
          <w:p>
            <w:pPr>
              <w:pStyle w:val="TableText"/>
            </w:pPr>
            <w:r>
              <w:rPr/>
              <w:t xml:space="preserve">Comissão Técnica de Avaliação da FAPES - cta@fapes.es.gov.br</w:t>
            </w:r>
          </w:p>
        </w:tc>
      </w:tr>
      <w:tr>
        <w:trPr>
          <w:cantSplit/>
        </w:trPr>
        <w:tc>
          <w:tcPr>
            <w:tcW w:w="2500" w:type="dxa"/>
            <w:shd w:fill="F2F4F7"/>
            <w:vAlign w:val="center"/>
          </w:tcPr>
          <w:p>
            <w:pPr>
              <w:pStyle w:val="TableText"/>
            </w:pPr>
            <w:r>
              <w:rPr/>
              <w:t xml:space="preserve">Proponente</w:t>
            </w:r>
          </w:p>
        </w:tc>
        <w:tc>
          <w:tcPr>
            <w:tcW w:w="6860" w:type="dxa"/>
            <w:vAlign w:val="center"/>
          </w:tcPr>
          <w:p>
            <w:pPr>
              <w:pStyle w:val="TableText"/>
            </w:pPr>
            <w:r>
              <w:rPr/>
              <w:t xml:space="preserve">Raphael Lages - preparação como pessoa física, com contingência de migração para PJ se todos os documentos ficarem prontos antes do SUBMETER</w:t>
            </w:r>
          </w:p>
        </w:tc>
      </w:tr>
      <w:tr>
        <w:trPr>
          <w:cantSplit/>
        </w:trPr>
        <w:tc>
          <w:tcPr>
            <w:tcW w:w="2500" w:type="dxa"/>
            <w:shd w:fill="F2F4F7"/>
            <w:vAlign w:val="center"/>
          </w:tcPr>
          <w:p>
            <w:pPr>
              <w:pStyle w:val="TableText"/>
            </w:pPr>
            <w:r>
              <w:rPr/>
              <w:t xml:space="preserve">Status</w:t>
            </w:r>
          </w:p>
        </w:tc>
        <w:tc>
          <w:tcPr>
            <w:tcW w:w="6860" w:type="dxa"/>
            <w:vAlign w:val="center"/>
          </w:tcPr>
          <w:p>
            <w:pPr>
              <w:pStyle w:val="TableText"/>
            </w:pPr>
            <w:r>
              <w:rPr/>
              <w:t xml:space="preserve">Rascunho para validação interna. Não enviar antes da revisão humana do relatório, da demo e dos anexos técnicos centrais.</w:t>
            </w:r>
          </w:p>
        </w:tc>
      </w:tr>
      <w:tr>
        <w:trPr>
          <w:cantSplit/>
        </w:trPr>
        <w:tc>
          <w:tcPr>
            <w:tcW w:w="2500" w:type="dxa"/>
            <w:shd w:fill="F2F4F7"/>
            <w:vAlign w:val="center"/>
          </w:tcPr>
          <w:p>
            <w:pPr>
              <w:pStyle w:val="TableText"/>
            </w:pPr>
            <w:r>
              <w:rPr/>
              <w:t xml:space="preserve">Prazos</w:t>
            </w:r>
          </w:p>
        </w:tc>
        <w:tc>
          <w:tcPr>
            <w:tcW w:w="6860" w:type="dxa"/>
            <w:vAlign w:val="center"/>
          </w:tcPr>
          <w:p>
            <w:pPr>
              <w:pStyle w:val="TableText"/>
            </w:pPr>
            <w:r>
              <w:rPr/>
              <w:t xml:space="preserve">Esclarecimentos até 08/06/2026. Submissão Solv até 11/06/2026. Recomendação operacional: enviar dúvidas oficiais somente após demo e anexos críticos estarem revisados, sem ultrapassar a janela oficial.</w:t>
            </w:r>
          </w:p>
        </w:tc>
      </w:tr>
    </w:tbl>
    <w:p>
      <w:pPr>
        <w:pStyle w:val="Heading1"/>
        <w:keepNext/>
      </w:pPr>
      <w:r>
        <w:rPr/>
        <w:t xml:space="preserve">Pré-requisitos antes do envio</w:t>
      </w:r>
    </w:p>
    <w:p>
      <w:pPr>
        <w:pStyle w:val="Normal"/>
      </w:pPr>
      <w:r>
        <w:rPr/>
        <w:t xml:space="preserve">O envio não deve ser decidido apenas pela data. Antes de enviar, validar os itens abaixo para que as perguntas oficiais reforcem a maturidade técnica da proposta e não exponham lacunas já endereçáveis internamente.</w:t>
      </w:r>
    </w:p>
    <w:tbl>
      <w:tblPr>
        <w:tblW w:w="9360" w:type="dxa"/>
        <w:tblInd w:w="120" w:type="dxa"/>
        <w:tblBorders>
          <w:top w:val="single" w:sz="4" w:color="D9DEE7"/>
          <w:left w:val="single" w:sz="4" w:color="D9DEE7"/>
          <w:bottom w:val="single" w:sz="4" w:color="D9DEE7"/>
          <w:right w:val="single" w:sz="4" w:color="D9DEE7"/>
          <w:insideH w:val="single" w:sz="4" w:color="D9DEE7"/>
          <w:insideV w:val="single" w:sz="4" w:color="D9DEE7"/>
        </w:tblBorders>
        <w:tblCellMar>
          <w:top w:w="80" w:type="dxa"/>
          <w:start w:w="120" w:type="dxa"/>
          <w:bottom w:w="80" w:type="dxa"/>
          <w:end w:w="120" w:type="dxa"/>
        </w:tblCellMar>
      </w:tblPr>
      <w:tblGrid>
        <w:gridCol w:w="2450"/>
        <w:gridCol w:w="3910"/>
        <w:gridCol w:w="3000"/>
      </w:tblGrid>
      <w:tr>
        <w:trPr>
          <w:cantSplit/>
        </w:trPr>
        <w:tc>
          <w:tcPr>
            <w:tcW w:w="2450" w:type="dxa"/>
            <w:shd w:fill="F2F4F7"/>
            <w:vAlign w:val="center"/>
          </w:tcPr>
          <w:p>
            <w:pPr>
              <w:pStyle w:val="TableText"/>
            </w:pPr>
            <w:r>
              <w:rPr/>
              <w:t xml:space="preserve">Pré-requisito</w:t>
            </w:r>
          </w:p>
        </w:tc>
        <w:tc>
          <w:tcPr>
            <w:tcW w:w="3910" w:type="dxa"/>
            <w:shd w:fill="F2F4F7"/>
            <w:vAlign w:val="center"/>
          </w:tcPr>
          <w:p>
            <w:pPr>
              <w:pStyle w:val="TableText"/>
            </w:pPr>
            <w:r>
              <w:rPr/>
              <w:t xml:space="preserve">Evidência</w:t>
            </w:r>
          </w:p>
        </w:tc>
        <w:tc>
          <w:tcPr>
            <w:tcW w:w="3000" w:type="dxa"/>
            <w:shd w:fill="F2F4F7"/>
            <w:vAlign w:val="center"/>
          </w:tcPr>
          <w:p>
            <w:pPr>
              <w:pStyle w:val="TableText"/>
            </w:pPr>
            <w:r>
              <w:rPr/>
              <w:t xml:space="preserve">Checagem antes de enviar</w:t>
            </w:r>
          </w:p>
        </w:tc>
      </w:tr>
      <w:tr>
        <w:trPr>
          <w:cantSplit/>
        </w:trPr>
        <w:tc>
          <w:tcPr>
            <w:tcW w:w="2450" w:type="dxa"/>
            <w:vAlign w:val="center"/>
          </w:tcPr>
          <w:p>
            <w:pPr>
              <w:pStyle w:val="TableText"/>
            </w:pPr>
            <w:r>
              <w:rPr/>
              <w:t xml:space="preserve">Demo ponta a ponta</w:t>
            </w:r>
          </w:p>
        </w:tc>
        <w:tc>
          <w:tcPr>
            <w:tcW w:w="3910" w:type="dxa"/>
            <w:vAlign w:val="center"/>
          </w:tcPr>
          <w:p>
            <w:pPr>
              <w:pStyle w:val="TableText"/>
            </w:pPr>
            <w:r>
              <w:rPr/>
              <w:t xml:space="preserve">/api/proposal/demo-flow; docs/proposal/demo-flow-v0.md</w:t>
            </w:r>
          </w:p>
        </w:tc>
        <w:tc>
          <w:tcPr>
            <w:tcW w:w="3000" w:type="dxa"/>
            <w:vAlign w:val="center"/>
          </w:tcPr>
          <w:p>
            <w:pPr>
              <w:pStyle w:val="TableText"/>
            </w:pPr>
            <w:r>
              <w:rPr/>
              <w:t xml:space="preserve">Abrir projeto, evidência, questionário, score, revisão e exportação sem depender de dado real FAPES.</w:t>
            </w:r>
          </w:p>
        </w:tc>
      </w:tr>
      <w:tr>
        <w:trPr>
          <w:cantSplit/>
        </w:trPr>
        <w:tc>
          <w:tcPr>
            <w:tcW w:w="2450" w:type="dxa"/>
            <w:vAlign w:val="center"/>
          </w:tcPr>
          <w:p>
            <w:pPr>
              <w:pStyle w:val="TableText"/>
            </w:pPr>
            <w:r>
              <w:rPr/>
              <w:t xml:space="preserve">Validação simulada</w:t>
            </w:r>
          </w:p>
        </w:tc>
        <w:tc>
          <w:tcPr>
            <w:tcW w:w="3910" w:type="dxa"/>
            <w:vAlign w:val="center"/>
          </w:tcPr>
          <w:p>
            <w:pPr>
              <w:pStyle w:val="TableText"/>
            </w:pPr>
            <w:r>
              <w:rPr/>
              <w:t xml:space="preserve">Golden set 12 casos; campanha 20 casos; auditoria de blocks</w:t>
            </w:r>
          </w:p>
        </w:tc>
        <w:tc>
          <w:tcPr>
            <w:tcW w:w="3000" w:type="dxa"/>
            <w:vAlign w:val="center"/>
          </w:tcPr>
          <w:p>
            <w:pPr>
              <w:pStyle w:val="TableText"/>
            </w:pPr>
            <w:r>
              <w:rPr/>
              <w:t xml:space="preserve">Manter 3 blocks esperados como casos negativos controlados e confirmar 0 falhas de processamento.</w:t>
            </w:r>
          </w:p>
        </w:tc>
      </w:tr>
      <w:tr>
        <w:trPr>
          <w:cantSplit/>
        </w:trPr>
        <w:tc>
          <w:tcPr>
            <w:tcW w:w="2450" w:type="dxa"/>
            <w:vAlign w:val="center"/>
          </w:tcPr>
          <w:p>
            <w:pPr>
              <w:pStyle w:val="TableText"/>
            </w:pPr>
            <w:r>
              <w:rPr/>
              <w:t xml:space="preserve">Integração e autenticação</w:t>
            </w:r>
          </w:p>
        </w:tc>
        <w:tc>
          <w:tcPr>
            <w:tcW w:w="3910" w:type="dxa"/>
            <w:vAlign w:val="center"/>
          </w:tcPr>
          <w:p>
            <w:pPr>
              <w:pStyle w:val="TableText"/>
            </w:pPr>
            <w:r>
              <w:rPr/>
              <w:t xml:space="preserve">docs/api/openapi.yaml; ADR-002; dossiê de prontidão de integração</w:t>
            </w:r>
          </w:p>
        </w:tc>
        <w:tc>
          <w:tcPr>
            <w:tcW w:w="3000" w:type="dxa"/>
            <w:vAlign w:val="center"/>
          </w:tcPr>
          <w:p>
            <w:pPr>
              <w:pStyle w:val="TableText"/>
            </w:pPr>
            <w:r>
              <w:rPr/>
              <w:t xml:space="preserve">Citar mock/OpenAPI e deixar URLs, claims e sandbox dependentes de resposta oficial.</w:t>
            </w:r>
          </w:p>
        </w:tc>
      </w:tr>
      <w:tr>
        <w:trPr>
          <w:cantSplit/>
        </w:trPr>
        <w:tc>
          <w:tcPr>
            <w:tcW w:w="2450" w:type="dxa"/>
            <w:vAlign w:val="center"/>
          </w:tcPr>
          <w:p>
            <w:pPr>
              <w:pStyle w:val="TableText"/>
            </w:pPr>
            <w:r>
              <w:rPr/>
              <w:t xml:space="preserve">PF agora / PJ contingência</w:t>
            </w:r>
          </w:p>
        </w:tc>
        <w:tc>
          <w:tcPr>
            <w:tcW w:w="3910" w:type="dxa"/>
            <w:vAlign w:val="center"/>
          </w:tcPr>
          <w:p>
            <w:pPr>
              <w:pStyle w:val="TableText"/>
            </w:pPr>
            <w:r>
              <w:rPr/>
              <w:t xml:space="preserve">submission-entity-decision; rota PF operacional</w:t>
            </w:r>
          </w:p>
        </w:tc>
        <w:tc>
          <w:tcPr>
            <w:tcW w:w="3000" w:type="dxa"/>
            <w:vAlign w:val="center"/>
          </w:tcPr>
          <w:p>
            <w:pPr>
              <w:pStyle w:val="TableText"/>
            </w:pPr>
            <w:r>
              <w:rPr/>
              <w:t xml:space="preserve">Revisar a pergunta PF/PJ, sem incluir CPF, endereço ou dados privados no e-mail.</w:t>
            </w:r>
          </w:p>
        </w:tc>
      </w:tr>
      <w:tr>
        <w:trPr>
          <w:cantSplit/>
        </w:trPr>
        <w:tc>
          <w:tcPr>
            <w:tcW w:w="2450" w:type="dxa"/>
            <w:vAlign w:val="center"/>
          </w:tcPr>
          <w:p>
            <w:pPr>
              <w:pStyle w:val="TableText"/>
            </w:pPr>
            <w:r>
              <w:rPr/>
              <w:t xml:space="preserve">Relatório Word</w:t>
            </w:r>
          </w:p>
        </w:tc>
        <w:tc>
          <w:tcPr>
            <w:tcW w:w="3910" w:type="dxa"/>
            <w:vAlign w:val="center"/>
          </w:tcPr>
          <w:p>
            <w:pPr>
              <w:pStyle w:val="TableText"/>
            </w:pPr>
            <w:r>
              <w:rPr/>
              <w:t xml:space="preserve">docs/proposal/esclarecimentos-cta-fapes-v0.docx</w:t>
            </w:r>
          </w:p>
        </w:tc>
        <w:tc>
          <w:tcPr>
            <w:tcW w:w="3000" w:type="dxa"/>
            <w:vAlign w:val="center"/>
          </w:tcPr>
          <w:p>
            <w:pPr>
              <w:pStyle w:val="TableText"/>
            </w:pPr>
            <w:r>
              <w:rPr/>
              <w:t xml:space="preserve">Validar texto final, enviar pela janela oficial e arquivar EML/PDF no tracker.</w:t>
            </w:r>
          </w:p>
        </w:tc>
      </w:tr>
    </w:tbl>
    <w:p>
      <w:pPr>
        <w:pStyle w:val="Heading1"/>
        <w:keepNext/>
      </w:pPr>
      <w:r>
        <w:rPr/>
        <w:t xml:space="preserve">Perguntas oficiais</w:t>
      </w:r>
    </w:p>
    <w:tbl>
      <w:tblPr>
        <w:tblW w:w="9360" w:type="dxa"/>
        <w:tblInd w:w="120" w:type="dxa"/>
        <w:tblBorders>
          <w:top w:val="single" w:sz="4" w:color="D9DEE7"/>
          <w:left w:val="single" w:sz="4" w:color="D9DEE7"/>
          <w:bottom w:val="single" w:sz="4" w:color="D9DEE7"/>
          <w:right w:val="single" w:sz="4" w:color="D9DEE7"/>
          <w:insideH w:val="single" w:sz="4" w:color="D9DEE7"/>
          <w:insideV w:val="single" w:sz="4" w:color="D9DEE7"/>
        </w:tblBorders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900"/>
        <w:gridCol w:w="5360"/>
        <w:gridCol w:w="2100"/>
      </w:tblGrid>
      <w:tr>
        <w:trPr>
          <w:cantSplit/>
        </w:trPr>
        <w:tc>
          <w:tcPr>
            <w:tcW w:w="1900" w:type="dxa"/>
            <w:shd w:fill="F2F4F7"/>
            <w:vAlign w:val="center"/>
          </w:tcPr>
          <w:p>
            <w:pPr>
              <w:pStyle w:val="TableText"/>
            </w:pPr>
            <w:r>
              <w:rPr/>
              <w:t xml:space="preserve">Tema</w:t>
            </w:r>
          </w:p>
        </w:tc>
        <w:tc>
          <w:tcPr>
            <w:tcW w:w="5360" w:type="dxa"/>
            <w:shd w:fill="F2F4F7"/>
            <w:vAlign w:val="center"/>
          </w:tcPr>
          <w:p>
            <w:pPr>
              <w:pStyle w:val="TableText"/>
            </w:pPr>
            <w:r>
              <w:rPr/>
              <w:t xml:space="preserve">Pergunta oficial sugerida</w:t>
            </w:r>
          </w:p>
        </w:tc>
        <w:tc>
          <w:tcPr>
            <w:tcW w:w="2100" w:type="dxa"/>
            <w:shd w:fill="F2F4F7"/>
            <w:vAlign w:val="center"/>
          </w:tcPr>
          <w:p>
            <w:pPr>
              <w:pStyle w:val="TableText"/>
            </w:pPr>
            <w:r>
              <w:rPr/>
              <w:t xml:space="preserve">Uso na proposta</w:t>
            </w:r>
          </w:p>
        </w:tc>
      </w:tr>
      <w:tr>
        <w:trPr>
          <w:cantSplit/>
        </w:trPr>
        <w:tc>
          <w:tcPr>
            <w:tcW w:w="1900" w:type="dxa"/>
            <w:vAlign w:val="center"/>
          </w:tcPr>
          <w:p>
            <w:pPr>
              <w:pStyle w:val="TableText"/>
            </w:pPr>
            <w:r>
              <w:rPr/>
              <w:t xml:space="preserve">Autenticação</w:t>
            </w:r>
          </w:p>
        </w:tc>
        <w:tc>
          <w:tcPr>
            <w:tcW w:w="5360" w:type="dxa"/>
            <w:vAlign w:val="center"/>
          </w:tcPr>
          <w:p>
            <w:pPr>
              <w:pStyle w:val="TableText"/>
            </w:pPr>
            <w:r>
              <w:rPr/>
              <w:t xml:space="preserve">Qual padrão de autenticação a FAPES/PRODEST espera para o ambiente de teste: Acesso Cidadão, gov.br, OIDC/SAML próprio ou outro?</w:t>
            </w:r>
          </w:p>
        </w:tc>
        <w:tc>
          <w:tcPr>
            <w:tcW w:w="2100" w:type="dxa"/>
            <w:vAlign w:val="center"/>
          </w:tcPr>
          <w:p>
            <w:pPr>
              <w:pStyle w:val="TableText"/>
            </w:pPr>
            <w:r>
              <w:rPr/>
              <w:t xml:space="preserve">ADR de autenticação, OpenAPI e critério de aderência ao desafio.</w:t>
            </w:r>
          </w:p>
        </w:tc>
      </w:tr>
      <w:tr>
        <w:trPr>
          <w:cantSplit/>
        </w:trPr>
        <w:tc>
          <w:tcPr>
            <w:tcW w:w="1900" w:type="dxa"/>
            <w:vAlign w:val="center"/>
          </w:tcPr>
          <w:p>
            <w:pPr>
              <w:pStyle w:val="TableText"/>
            </w:pPr>
            <w:r>
              <w:rPr/>
              <w:t xml:space="preserve">API FAPES</w:t>
            </w:r>
          </w:p>
        </w:tc>
        <w:tc>
          <w:tcPr>
            <w:tcW w:w="5360" w:type="dxa"/>
            <w:vAlign w:val="center"/>
          </w:tcPr>
          <w:p>
            <w:pPr>
              <w:pStyle w:val="TableText"/>
            </w:pPr>
            <w:r>
              <w:rPr/>
              <w:t xml:space="preserve">O sistema de gestão da FAPES já possui API para consulta de projetos e envio de resultados? Há documentação técnica, stack ou sandbox disponível?</w:t>
            </w:r>
          </w:p>
        </w:tc>
        <w:tc>
          <w:tcPr>
            <w:tcW w:w="2100" w:type="dxa"/>
            <w:vAlign w:val="center"/>
          </w:tcPr>
          <w:p>
            <w:pPr>
              <w:pStyle w:val="TableText"/>
            </w:pPr>
            <w:r>
              <w:rPr/>
              <w:t xml:space="preserve">Plano de Teste, integração M7 e matriz de risco contratual.</w:t>
            </w:r>
          </w:p>
        </w:tc>
      </w:tr>
      <w:tr>
        <w:trPr>
          <w:cantSplit/>
        </w:trPr>
        <w:tc>
          <w:tcPr>
            <w:tcW w:w="1900" w:type="dxa"/>
            <w:vAlign w:val="center"/>
          </w:tcPr>
          <w:p>
            <w:pPr>
              <w:pStyle w:val="TableText"/>
            </w:pPr>
            <w:r>
              <w:rPr/>
              <w:t xml:space="preserve">PF/PJ</w:t>
            </w:r>
          </w:p>
        </w:tc>
        <w:tc>
          <w:tcPr>
            <w:tcW w:w="5360" w:type="dxa"/>
            <w:vAlign w:val="center"/>
          </w:tcPr>
          <w:p>
            <w:pPr>
              <w:pStyle w:val="TableText"/>
            </w:pPr>
            <w:r>
              <w:rPr/>
              <w:t xml:space="preserve">Como o edital permite participação de pessoa física, quais documentos de habilitação, assinatura e cadastro Solv devem ser usados para a rota PF enquanto a PJ do proponente ainda está em constituição?</w:t>
            </w:r>
          </w:p>
        </w:tc>
        <w:tc>
          <w:tcPr>
            <w:tcW w:w="2100" w:type="dxa"/>
            <w:vAlign w:val="center"/>
          </w:tcPr>
          <w:p>
            <w:pPr>
              <w:pStyle w:val="TableText"/>
            </w:pPr>
            <w:r>
              <w:rPr/>
              <w:t xml:space="preserve">Decisão de entidade, habilitação e anexos Solv.</w:t>
            </w:r>
          </w:p>
        </w:tc>
      </w:tr>
      <w:tr>
        <w:trPr>
          <w:cantSplit/>
        </w:trPr>
        <w:tc>
          <w:tcPr>
            <w:tcW w:w="1900" w:type="dxa"/>
            <w:vAlign w:val="center"/>
          </w:tcPr>
          <w:p>
            <w:pPr>
              <w:pStyle w:val="TableText"/>
            </w:pPr>
            <w:r>
              <w:rPr/>
              <w:t xml:space="preserve">Remuneração</w:t>
            </w:r>
          </w:p>
        </w:tc>
        <w:tc>
          <w:tcPr>
            <w:tcW w:w="5360" w:type="dxa"/>
            <w:vAlign w:val="center"/>
          </w:tcPr>
          <w:p>
            <w:pPr>
              <w:pStyle w:val="TableText"/>
            </w:pPr>
            <w:r>
              <w:rPr/>
              <w:t xml:space="preserve">Para este desafio, a Administração tem preferência por preço fixo por marcos ou outra modalidade de remuneração prevista no Anexo IV?</w:t>
            </w:r>
          </w:p>
        </w:tc>
        <w:tc>
          <w:tcPr>
            <w:tcW w:w="2100" w:type="dxa"/>
            <w:vAlign w:val="center"/>
          </w:tcPr>
          <w:p>
            <w:pPr>
              <w:pStyle w:val="TableText"/>
            </w:pPr>
            <w:r>
              <w:rPr/>
              <w:t xml:space="preserve">Modelo econômico, marcos de pagamento e negociação CPSI.</w:t>
            </w:r>
          </w:p>
        </w:tc>
      </w:tr>
      <w:tr>
        <w:trPr>
          <w:cantSplit/>
        </w:trPr>
        <w:tc>
          <w:tcPr>
            <w:tcW w:w="1900" w:type="dxa"/>
            <w:vAlign w:val="center"/>
          </w:tcPr>
          <w:p>
            <w:pPr>
              <w:pStyle w:val="TableText"/>
            </w:pPr>
            <w:r>
              <w:rPr/>
              <w:t xml:space="preserve">Consórcio</w:t>
            </w:r>
          </w:p>
        </w:tc>
        <w:tc>
          <w:tcPr>
            <w:tcW w:w="5360" w:type="dxa"/>
            <w:vAlign w:val="center"/>
          </w:tcPr>
          <w:p>
            <w:pPr>
              <w:pStyle w:val="TableText"/>
            </w:pPr>
            <w:r>
              <w:rPr/>
              <w:t xml:space="preserve">Em eventual consórcio, a exigência de liderança com sede/domicílio no ES se aplica também quando a parceira for ICT capixaba? Há restrição para ICT externa como participante não líder?</w:t>
            </w:r>
          </w:p>
        </w:tc>
        <w:tc>
          <w:tcPr>
            <w:tcW w:w="2100" w:type="dxa"/>
            <w:vAlign w:val="center"/>
          </w:tcPr>
          <w:p>
            <w:pPr>
              <w:pStyle w:val="TableText"/>
            </w:pPr>
            <w:r>
              <w:rPr/>
              <w:t xml:space="preserve">Estratégia solo/consórcio, equipe, habilitação e risco editalício.</w:t>
            </w:r>
          </w:p>
        </w:tc>
      </w:tr>
    </w:tbl>
    <w:p>
      <w:pPr>
        <w:pStyle w:val="Heading1"/>
        <w:keepNext/>
      </w:pPr>
      <w:r>
        <w:rPr/>
        <w:t xml:space="preserve">Texto de e-mail sugerido</w:t>
      </w:r>
    </w:p>
    <w:p>
      <w:pPr>
        <w:pStyle w:val="Quote"/>
      </w:pPr>
      <w:r>
        <w:rPr/>
        <w:t xml:space="preserve">Assunto: Pedido de esclarecimentos - CPSI FAPES 003/2026 - Desafio de avaliação TRL/BRL</w:t>
        <w:br/>
        <w:t xml:space="preserve"/>
        <w:br/>
        <w:t xml:space="preserve">Prezada Comissão Técnica de Avaliação da FAPES,</w:t>
        <w:br/>
        <w:t xml:space="preserve"/>
        <w:br/>
        <w:t xml:space="preserve">Com base no Edital de CPSI FAPES 003/2026 e no Termo de Referência do desafio, solicito os esclarecimentos abaixo para alinhar a proposta técnica, o Plano de Teste e os anexos de habilitação aos procedimentos esperados pela Administração.</w:t>
        <w:br/>
        <w:t xml:space="preserve"/>
        <w:br/>
        <w:t xml:space="preserve">1. Autenticação institucional: qual padrão deve ser considerado para o ambiente de teste?</w:t>
        <w:br/>
        <w:t xml:space="preserve">2. API ou sistema de gestão: há API, stack, documentação ou sandbox disponível para consulta de projetos e envio de resultados?</w:t>
        <w:br/>
        <w:t xml:space="preserve">3. PF/PJ: como o edital permite participação de pessoa física, quais documentos de habilitação, assinatura e cadastro Solv devem ser usados para a rota PF enquanto a PJ do proponente ainda está em constituição?</w:t>
        <w:br/>
        <w:t xml:space="preserve">4. Remuneração: há preferência por preço fixo por marcos ou por outra modalidade prevista no contrato?</w:t>
        <w:br/>
        <w:t xml:space="preserve">5. Consórcio: como se aplica a exigência de liderança com sede/domicílio no Espírito Santo e há restrição para ICT externa como participante não líder?</w:t>
        <w:br/>
        <w:t xml:space="preserve"/>
        <w:br/>
        <w:t xml:space="preserve">Agradeço desde já. As respostas serão usadas apenas para adequar a proposta e reduzir risco de desalinhamento técnico, jurídico e operacional.</w:t>
        <w:br/>
        <w:t xml:space="preserve"/>
        <w:br/>
        <w:t xml:space="preserve">Atenciosamente,</w:t>
        <w:br/>
        <w:t xml:space="preserve">Raphael Lages</w:t>
      </w:r>
    </w:p>
    <w:p>
      <w:pPr>
        <w:pStyle w:val="Heading1"/>
        <w:keepNext/>
      </w:pPr>
      <w:r>
        <w:rPr/>
        <w:t xml:space="preserve">Checklist antes do envio</w:t>
      </w:r>
    </w:p>
    <w:p>
      <w:pPr>
        <w:pStyle w:val="ListParagraph"/>
        <w:numPr>
          <w:ilvl w:val="0"/>
          <w:numId w:val="1"/>
        </w:numPr>
      </w:pPr>
      <w:r>
        <w:rPr/>
        <w:t xml:space="preserve">Confirmar que a ferramenta roda a demo principal de ponta a ponta com projetos simulados e relatório exportável.</w:t>
      </w:r>
    </w:p>
    <w:p>
      <w:pPr>
        <w:pStyle w:val="ListParagraph"/>
        <w:numPr>
          <w:ilvl w:val="0"/>
          <w:numId w:val="1"/>
        </w:numPr>
      </w:pPr>
      <w:r>
        <w:rPr/>
        <w:t xml:space="preserve">Conferir auditoria dos projetos simulados e manter os bloqueios esperados como casos negativos de governança, não como falha de processamento.</w:t>
      </w:r>
    </w:p>
    <w:p>
      <w:pPr>
        <w:pStyle w:val="ListParagraph"/>
        <w:numPr>
          <w:ilvl w:val="0"/>
          <w:numId w:val="1"/>
        </w:numPr>
      </w:pPr>
      <w:r>
        <w:rPr/>
        <w:t xml:space="preserve">Conferir OpenAPI/Swagger, ADR de autenticação e cliente mock antes de citar integração imediata.</w:t>
      </w:r>
    </w:p>
    <w:p>
      <w:pPr>
        <w:pStyle w:val="ListParagraph"/>
        <w:numPr>
          <w:ilvl w:val="0"/>
          <w:numId w:val="1"/>
        </w:numPr>
      </w:pPr>
      <w:r>
        <w:rPr/>
        <w:t xml:space="preserve">Atualizar a decisão PF/PJ: preparar como PF agora e migrar para PJ somente se CNPJ e certidões estiverem prontos antes do envio final.</w:t>
      </w:r>
    </w:p>
    <w:p>
      <w:pPr>
        <w:pStyle w:val="ListParagraph"/>
        <w:numPr>
          <w:ilvl w:val="0"/>
          <w:numId w:val="1"/>
        </w:numPr>
      </w:pPr>
      <w:r>
        <w:rPr/>
        <w:t xml:space="preserve">Garantir que o e-mail não contenha dados sensíveis, credenciais, CPF completo, links privados ou anexos não revisados.</w:t>
      </w:r>
    </w:p>
    <w:p>
      <w:pPr>
        <w:pStyle w:val="ListParagraph"/>
        <w:numPr>
          <w:ilvl w:val="0"/>
          <w:numId w:val="1"/>
        </w:numPr>
      </w:pPr>
      <w:r>
        <w:rPr/>
        <w:t xml:space="preserve">Salvar protocolo, resposta oficial e data de recebimento para uso no Anexo VI, Plano de Teste e matriz de riscos.</w:t>
      </w:r>
    </w:p>
    <w:p>
      <w:pPr>
        <w:pStyle w:val="Heading1"/>
        <w:keepNext/>
      </w:pPr>
      <w:r>
        <w:rPr/>
        <w:t xml:space="preserve">Como usar as respostas</w:t>
      </w:r>
    </w:p>
    <w:p>
      <w:pPr>
        <w:pStyle w:val="ListParagraph"/>
        <w:numPr>
          <w:ilvl w:val="0"/>
          <w:numId w:val="2"/>
        </w:numPr>
      </w:pPr>
      <w:r>
        <w:rPr/>
        <w:t xml:space="preserve">Se a CTA confirmar autenticação/API, atualizar o contrato OpenAPI, ADR de autenticação e cronograma de integração.</w:t>
      </w:r>
    </w:p>
    <w:p>
      <w:pPr>
        <w:pStyle w:val="ListParagraph"/>
        <w:numPr>
          <w:ilvl w:val="0"/>
          <w:numId w:val="2"/>
        </w:numPr>
      </w:pPr>
      <w:r>
        <w:rPr/>
        <w:t xml:space="preserve">Se a CTA não responder até o fechamento, manter premissa conservadora no texto e explicitar que será validada no M1 da PoC.</w:t>
      </w:r>
    </w:p>
    <w:p>
      <w:pPr>
        <w:pStyle w:val="ListParagraph"/>
        <w:numPr>
          <w:ilvl w:val="0"/>
          <w:numId w:val="2"/>
        </w:numPr>
      </w:pPr>
      <w:r>
        <w:rPr/>
        <w:t xml:space="preserve">Se a CTA indicar rito documental específico para pessoa física, atualizar a habilitação e o cadastro Solv antes da submissão.</w:t>
      </w:r>
    </w:p>
    <w:p>
      <w:pPr>
        <w:pStyle w:val="ListParagraph"/>
        <w:numPr>
          <w:ilvl w:val="0"/>
          <w:numId w:val="2"/>
        </w:numPr>
      </w:pPr>
      <w:r>
        <w:rPr/>
        <w:t xml:space="preserve">Se houver preferência de remuneração, ajustar o Plano de Teste e o orçamento por marco antes da submissão.</w:t>
      </w:r>
    </w:p>
    <w:p>
      <w:pPr>
        <w:pStyle w:val="Heading1"/>
        <w:keepNext/>
      </w:pPr>
      <w:r>
        <w:rPr/>
        <w:t xml:space="preserve">Observação final</w:t>
      </w:r>
    </w:p>
    <w:p>
      <w:pPr>
        <w:pStyle w:val="Normal"/>
      </w:pPr>
      <w:r>
        <w:rPr/>
        <w:t xml:space="preserve">Este rascunho não substitui a revisão final do formulário Solv. Ele deve ser tratado como apoio de governança: reduzir incerteza oficial sem antecipar envio incompleto.</w:t>
      </w:r>
    </w:p>
    <w:sectPr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1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color w:val="000000"/>
      </w:rPr>
    </w:rPrDefault>
    <w:pPrDefault>
      <w:pPr>
        <w:spacing w:after="120" w:line="264" w:lineRule="auto"/>
      </w:pPr>
    </w:pPrDefault>
  </w:docDefaults>
  <w:style w:type="paragraph" w:default="1" w:styleId="Normal">
    <w:name w:val="Normal"/>
    <w:pPr>
      <w:spacing w:after="120" w:line="264" w:lineRule="auto"/>
    </w:pPr>
    <w:rPr>
      <w:rFonts w:ascii="Calibri" w:hAnsi="Calibri"/>
      <w:sz w:val="22"/>
    </w:rPr>
  </w:style>
  <w:style w:type="paragraph" w:styleId="Title">
    <w:name w:val="Title"/>
    <w:basedOn w:val="Normal"/>
    <w:pPr>
      <w:spacing w:before="0" w:after="160"/>
    </w:pPr>
    <w:rPr>
      <w:b/>
      <w:color w:val="0B2545"/>
      <w:sz w:val="48"/>
    </w:rPr>
  </w:style>
  <w:style w:type="paragraph" w:styleId="Subtitle">
    <w:name w:val="Subtitle"/>
    <w:basedOn w:val="Normal"/>
    <w:pPr>
      <w:spacing w:after="160"/>
    </w:pPr>
    <w:rPr>
      <w:color w:val="555555"/>
      <w:sz w:val="24"/>
    </w:rPr>
  </w:style>
  <w:style w:type="paragraph" w:styleId="Meta">
    <w:name w:val="Meta"/>
    <w:basedOn w:val="Normal"/>
    <w:pPr>
      <w:spacing w:after="160"/>
    </w:pPr>
    <w:rPr>
      <w:i/>
      <w:color w:val="555555"/>
      <w:sz w:val="20"/>
    </w:rPr>
  </w:style>
  <w:style w:type="paragraph" w:styleId="Heading1">
    <w:name w:val="heading 1"/>
    <w:basedOn w:val="Normal"/>
    <w:next w:val="Normal"/>
    <w:qFormat/>
    <w:pPr>
      <w:keepNext/>
      <w:spacing w:before="320" w:after="160"/>
    </w:pPr>
    <w:rPr>
      <w:b/>
      <w:color w:val="2E74B5"/>
      <w:sz w:val="32"/>
    </w:rPr>
  </w:style>
  <w:style w:type="paragraph" w:styleId="ListParagraph">
    <w:name w:val="List Paragraph"/>
    <w:basedOn w:val="Normal"/>
    <w:pPr>
      <w:ind w:left="720" w:hanging="360"/>
      <w:spacing w:after="120" w:line="280" w:lineRule="auto"/>
    </w:pPr>
  </w:style>
  <w:style w:type="paragraph" w:styleId="TableText">
    <w:name w:val="Table Text"/>
    <w:basedOn w:val="Normal"/>
    <w:pPr>
      <w:spacing w:after="0" w:line="260" w:lineRule="auto"/>
    </w:pPr>
    <w:rPr>
      <w:sz w:val="20"/>
    </w:rPr>
  </w:style>
  <w:style w:type="paragraph" w:styleId="Quote">
    <w:name w:val="Quote"/>
    <w:basedOn w:val="Normal"/>
    <w:pPr>
      <w:ind w:left="360" w:right="360"/>
      <w:spacing w:before="120" w:after="120" w:line="280" w:lineRule="auto"/>
    </w:pPr>
    <w:rPr>
      <w:sz w:val="21"/>
      <w:color w:val="1F3A5F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Codex OOXML Builder</Application>
  <DocSecurity>0</DocSecurity>
  <ScaleCrop>false</ScaleCrop>
  <Company>StartupES/FAPES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Relatório de Esclarecimentos à CTA FAPES</dc:title>
  <dc:creator>Codex</dc:creator>
  <cp:lastModifiedBy>Codex</cp:lastModifiedBy>
  <dcterms:created xsi:type="dcterms:W3CDTF">2026-05-31T00:00:00Z</dcterms:created>
  <dcterms:modified xsi:type="dcterms:W3CDTF">2026-05-31T00:00:00Z</dcterms:modified>
</cp:coreProperties>
</file>